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pacing w:after="0" w:before="280"/>
        <w:contextualSpacing w:val="false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</w:r>
    </w:p>
    <w:p>
      <w:pPr>
        <w:pStyle w:val="style28"/>
        <w:spacing w:after="0" w:before="280"/>
        <w:contextualSpacing w:val="false"/>
        <w:rPr>
          <w:rStyle w:val="style17"/>
          <w:rFonts w:ascii="Arial" w:cs="Arial" w:hAnsi="Arial"/>
          <w:color w:val="222222"/>
        </w:rPr>
      </w:pPr>
      <w:r>
        <w:rPr>
          <w:rStyle w:val="style17"/>
          <w:rFonts w:ascii="Arial" w:cs="Arial" w:hAnsi="Arial"/>
          <w:color w:val="222222"/>
        </w:rPr>
        <w:t xml:space="preserve"> </w:t>
      </w:r>
    </w:p>
    <w:p>
      <w:pPr>
        <w:pStyle w:val="style28"/>
        <w:spacing w:after="0" w:before="280"/>
        <w:contextualSpacing w:val="false"/>
        <w:rPr/>
      </w:pPr>
      <w:r>
        <w:rPr/>
      </w:r>
    </w:p>
    <w:p>
      <w:pPr>
        <w:pStyle w:val="style28"/>
        <w:spacing w:after="0" w:before="280"/>
        <w:contextualSpacing w:val="false"/>
        <w:rPr>
          <w:b/>
          <w:bCs/>
        </w:rPr>
      </w:pPr>
      <w:r>
        <w:rPr>
          <w:b/>
          <w:bCs/>
        </w:rPr>
        <w:t>Quesito</w:t>
      </w:r>
    </w:p>
    <w:p>
      <w:pPr>
        <w:pStyle w:val="style28"/>
        <w:spacing w:after="0" w:before="280"/>
        <w:contextualSpacing w:val="false"/>
        <w:jc w:val="both"/>
        <w:rPr>
          <w:b/>
          <w:bCs/>
        </w:rPr>
      </w:pPr>
      <w:r>
        <w:rPr>
          <w:b/>
          <w:bCs/>
        </w:rPr>
        <w:t>La classe e categoria T.02, indicata nella tabella 2 pagina 5, non prevede corrispondenza co</w:t>
      </w:r>
      <w:r>
        <w:rPr>
          <w:b/>
          <w:bCs/>
        </w:rPr>
        <w:t xml:space="preserve">n </w:t>
      </w:r>
      <w:r>
        <w:rPr>
          <w:b/>
          <w:bCs/>
        </w:rPr>
        <w:t xml:space="preserve"> le classi e categorie della precedente normativa, e la scrivente ha difficoltà a reperire l</w:t>
      </w:r>
      <w:r>
        <w:rPr>
          <w:b/>
          <w:bCs/>
        </w:rPr>
        <w:t>a</w:t>
      </w:r>
      <w:r>
        <w:rPr>
          <w:b/>
          <w:bCs/>
        </w:rPr>
        <w:t xml:space="preserve"> documentazione  comprovante tali servizi.</w:t>
      </w:r>
    </w:p>
    <w:p>
      <w:pPr>
        <w:pStyle w:val="style28"/>
        <w:spacing w:after="0" w:before="280"/>
        <w:contextualSpacing w:val="false"/>
        <w:jc w:val="both"/>
        <w:rPr>
          <w:b/>
          <w:bCs/>
        </w:rPr>
      </w:pPr>
      <w:r>
        <w:rPr>
          <w:b/>
          <w:bCs/>
        </w:rPr>
        <w:t>Considerato che dalla descrizione della medesima categoria T.02 i servizi ivi indicati rientrerebbero nelle classi e categorie IIIc e IVc della precedente normativa, è possibile dimostrare il possesso del requisito con certificazioni delle su menzionate classi e categoria IIIC  e/o  IVC?</w:t>
      </w:r>
    </w:p>
    <w:p>
      <w:pPr>
        <w:pStyle w:val="style28"/>
        <w:spacing w:after="0" w:before="280"/>
        <w:contextualSpacing w:val="false"/>
        <w:jc w:val="both"/>
        <w:rPr>
          <w:u w:val="single"/>
        </w:rPr>
      </w:pPr>
      <w:r>
        <w:rPr>
          <w:u w:val="single"/>
        </w:rPr>
        <w:t>Risposta.</w:t>
      </w:r>
    </w:p>
    <w:p>
      <w:pPr>
        <w:pStyle w:val="style28"/>
        <w:spacing w:after="0" w:before="280"/>
        <w:contextualSpacing w:val="false"/>
        <w:jc w:val="both"/>
        <w:rPr/>
      </w:pPr>
      <w:r>
        <w:rPr/>
        <w:t>È possibile dimostrare il possesso dei requisiti della categoria T.02  “Reti locali e geografiche, cablaggi strutturati, impianti in fibra ottica, Impianti di videosorveglianza, controllo accessi, identificazione targhe di veicoli ecc Sistemi wireless, reti wifi, ponti radio.”  del D.M. 140/12 con le calassi e categorie IIIC  e/o  IVC della vecchia normativa.</w:t>
      </w:r>
    </w:p>
    <w:p>
      <w:pPr>
        <w:pStyle w:val="style28"/>
        <w:spacing w:after="0" w:before="280"/>
        <w:contextualSpacing w:val="false"/>
        <w:jc w:val="both"/>
        <w:rPr/>
      </w:pPr>
      <w:r>
        <w:rPr/>
      </w:r>
    </w:p>
    <w:p>
      <w:pPr>
        <w:pStyle w:val="style28"/>
        <w:spacing w:after="0" w:before="280"/>
        <w:contextualSpacing w:val="false"/>
        <w:jc w:val="both"/>
        <w:rPr>
          <w:b/>
          <w:bCs/>
        </w:rPr>
      </w:pPr>
      <w:r>
        <w:rPr>
          <w:b/>
          <w:bCs/>
        </w:rPr>
        <w:t>Quesito</w:t>
      </w:r>
    </w:p>
    <w:p>
      <w:pPr>
        <w:pStyle w:val="style28"/>
        <w:spacing w:after="0" w:before="280"/>
        <w:contextualSpacing w:val="false"/>
        <w:jc w:val="both"/>
        <w:rPr>
          <w:b/>
          <w:bCs/>
        </w:rPr>
      </w:pPr>
      <w:r>
        <w:rPr>
          <w:b/>
          <w:bCs/>
        </w:rPr>
        <w:t>Per i requisiti di progettazione si chiede di conoscere per ogni codice indicato nel bando di gara la corrispondente classe e categoria di cui alla l. 143/1949 e successive modifiche.</w:t>
      </w:r>
    </w:p>
    <w:p>
      <w:pPr>
        <w:pStyle w:val="style28"/>
        <w:spacing w:after="0" w:before="0"/>
        <w:contextualSpacing w:val="false"/>
        <w:jc w:val="both"/>
        <w:rPr>
          <w:b/>
          <w:bCs/>
        </w:rPr>
      </w:pPr>
      <w:r>
        <w:rPr>
          <w:b/>
          <w:bCs/>
        </w:rPr>
        <w:t>In particolare si chiede se per:</w:t>
      </w:r>
    </w:p>
    <w:p>
      <w:pPr>
        <w:pStyle w:val="style28"/>
        <w:numPr>
          <w:ilvl w:val="0"/>
          <w:numId w:val="1"/>
        </w:numPr>
        <w:spacing w:after="0" w:before="0"/>
        <w:contextualSpacing w:val="false"/>
        <w:jc w:val="both"/>
        <w:rPr>
          <w:b/>
          <w:bCs/>
        </w:rPr>
      </w:pPr>
      <w:r>
        <w:rPr>
          <w:b/>
          <w:bCs/>
        </w:rPr>
        <w:t>il codice E.08 è possibile utilizzare le certificazioni possedute dai progettisti nella cat. Ic/Id di cui alla l. 143/1949;</w:t>
      </w:r>
    </w:p>
    <w:p>
      <w:pPr>
        <w:pStyle w:val="style28"/>
        <w:numPr>
          <w:ilvl w:val="0"/>
          <w:numId w:val="1"/>
        </w:numPr>
        <w:spacing w:after="0" w:before="0"/>
        <w:contextualSpacing w:val="false"/>
        <w:jc w:val="both"/>
        <w:rPr>
          <w:b/>
          <w:bCs/>
        </w:rPr>
      </w:pPr>
      <w:r>
        <w:rPr>
          <w:b/>
          <w:bCs/>
        </w:rPr>
        <w:t xml:space="preserve">il codice T.02 è possibile utilizzare le certificazioni possedute dai progettisti nella cat. IIIc di cui alla l. 143/1949 </w:t>
      </w:r>
    </w:p>
    <w:p>
      <w:pPr>
        <w:pStyle w:val="style28"/>
        <w:numPr>
          <w:ilvl w:val="0"/>
          <w:numId w:val="1"/>
        </w:numPr>
        <w:spacing w:after="0" w:before="0"/>
        <w:contextualSpacing w:val="false"/>
        <w:jc w:val="both"/>
        <w:rPr>
          <w:b/>
          <w:bCs/>
        </w:rPr>
      </w:pPr>
      <w:r>
        <w:rPr>
          <w:b/>
          <w:bCs/>
        </w:rPr>
        <w:t>il codice IA.02 è possibile utilizzare le certificazioni possedute dai progettisti nella cat. IIIb di cui alla l. 143/1949.</w:t>
      </w:r>
    </w:p>
    <w:p>
      <w:pPr>
        <w:pStyle w:val="style28"/>
        <w:spacing w:after="0" w:before="280"/>
        <w:contextualSpacing w:val="false"/>
        <w:jc w:val="both"/>
        <w:rPr>
          <w:u w:val="single"/>
        </w:rPr>
      </w:pPr>
      <w:r>
        <w:rPr>
          <w:u w:val="single"/>
        </w:rPr>
        <w:t>Risposta</w:t>
      </w:r>
    </w:p>
    <w:p>
      <w:pPr>
        <w:pStyle w:val="style28"/>
        <w:numPr>
          <w:ilvl w:val="0"/>
          <w:numId w:val="1"/>
        </w:numPr>
        <w:spacing w:after="0" w:before="280"/>
        <w:contextualSpacing w:val="false"/>
        <w:jc w:val="both"/>
        <w:rPr/>
      </w:pPr>
      <w:r>
        <w:rPr/>
        <w:t>per il codice E.08 è possibile utilizzare le certificazioni possedute dai progettisti nella cat. Ic e/o Id di cui alla l. 143/1949;</w:t>
      </w:r>
    </w:p>
    <w:p>
      <w:pPr>
        <w:pStyle w:val="style28"/>
        <w:numPr>
          <w:ilvl w:val="0"/>
          <w:numId w:val="1"/>
        </w:numPr>
        <w:spacing w:after="0" w:before="280"/>
        <w:contextualSpacing w:val="false"/>
        <w:jc w:val="both"/>
        <w:rPr/>
      </w:pPr>
      <w:bookmarkStart w:id="0" w:name="_GoBack"/>
      <w:bookmarkEnd w:id="0"/>
      <w:r>
        <w:rPr/>
        <w:t>il codice T.02 è possibile utilizzare le certificazioni possedute dai progettisti nella cat. IIIc di cui alla l. 143/1949;</w:t>
      </w:r>
    </w:p>
    <w:p>
      <w:pPr>
        <w:pStyle w:val="style28"/>
        <w:numPr>
          <w:ilvl w:val="0"/>
          <w:numId w:val="1"/>
        </w:numPr>
        <w:spacing w:after="0" w:before="280"/>
        <w:contextualSpacing w:val="false"/>
        <w:jc w:val="both"/>
        <w:rPr/>
      </w:pPr>
      <w:r>
        <w:rPr/>
        <w:t>il codice IA.02 è possibile utilizzare le certificazioni possedute dai progettisti nella cat. IIIb di cui alla l. 143/1949.</w:t>
      </w:r>
    </w:p>
    <w:p>
      <w:pPr>
        <w:pStyle w:val="style28"/>
        <w:spacing w:after="0" w:before="280"/>
        <w:contextualSpacing w:val="false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Preformattato HTML Carattere"/>
    <w:basedOn w:val="style15"/>
    <w:next w:val="style16"/>
    <w:rPr>
      <w:rFonts w:ascii="Courier New" w:cs="Courier New" w:eastAsia="Times New Roman" w:hAnsi="Courier New"/>
      <w:sz w:val="20"/>
      <w:szCs w:val="20"/>
      <w:lang w:eastAsia="it-IT"/>
    </w:rPr>
  </w:style>
  <w:style w:styleId="style17" w:type="character">
    <w:name w:val="st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Symbol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Wingdings"/>
    </w:rPr>
  </w:style>
  <w:style w:styleId="style23" w:type="paragraph">
    <w:name w:val="Tito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el testo"/>
    <w:basedOn w:val="style0"/>
    <w:next w:val="style24"/>
    <w:pPr>
      <w:spacing w:after="120" w:before="0"/>
      <w:contextualSpacing w:val="false"/>
    </w:pPr>
    <w:rPr/>
  </w:style>
  <w:style w:styleId="style25" w:type="paragraph">
    <w:name w:val="Elenco"/>
    <w:basedOn w:val="style24"/>
    <w:next w:val="style25"/>
    <w:pPr/>
    <w:rPr>
      <w:rFonts w:cs="Mangal"/>
    </w:rPr>
  </w:style>
  <w:style w:styleId="style26" w:type="paragraph">
    <w:name w:val="Didascali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ice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29" w:type="paragraph">
    <w:name w:val="HTML Preformatted"/>
    <w:basedOn w:val="style0"/>
    <w:next w:val="style29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  <w:lang w:eastAsia="it-IT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2014-09-26T07:44:00Z</dcterms:created>
  <dc:creator>FERNANDO CAPONE</dc:creator>
  <cp:lastModifiedBy>FERNANDO CAPONE</cp:lastModifiedBy>
  <dcterms:modified xsi:type="dcterms:W3CDTF">2014-09-26T08:26:00Z</dcterms:modified>
  <cp:revision>1</cp:revision>
</cp:coreProperties>
</file>