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15DF0">
      <w:pPr>
        <w:pStyle w:val="Nessunaspaziatura"/>
        <w:jc w:val="center"/>
      </w:pPr>
      <w:bookmarkStart w:id="0" w:name="_GoBack"/>
      <w:bookmarkEnd w:id="0"/>
      <w:r>
        <w:rPr>
          <w:rFonts w:ascii="Times New Roman"/>
          <w:b/>
          <w:bCs/>
          <w:sz w:val="32"/>
          <w:szCs w:val="24"/>
        </w:rPr>
        <w:t xml:space="preserve">AZIENDA OSPEDALIERA </w:t>
      </w:r>
      <w:r>
        <w:rPr>
          <w:rFonts w:ascii="Times New Roman"/>
          <w:b/>
          <w:bCs/>
          <w:sz w:val="32"/>
          <w:szCs w:val="24"/>
        </w:rPr>
        <w:t>“</w:t>
      </w:r>
      <w:r>
        <w:rPr>
          <w:rFonts w:ascii="Times New Roman"/>
          <w:b/>
          <w:bCs/>
          <w:sz w:val="32"/>
          <w:szCs w:val="24"/>
        </w:rPr>
        <w:t>G. Rummo</w:t>
      </w:r>
      <w:r>
        <w:rPr>
          <w:rFonts w:ascii="Times New Roman"/>
          <w:b/>
          <w:bCs/>
          <w:sz w:val="32"/>
          <w:szCs w:val="24"/>
        </w:rPr>
        <w:t>”</w:t>
      </w:r>
      <w:r>
        <w:rPr>
          <w:rFonts w:ascii="Times New Roman"/>
          <w:b/>
          <w:bCs/>
          <w:sz w:val="32"/>
          <w:szCs w:val="24"/>
        </w:rPr>
        <w:t xml:space="preserve"> </w:t>
      </w:r>
      <w:r>
        <w:rPr>
          <w:rFonts w:ascii="Times New Roman"/>
          <w:b/>
          <w:bCs/>
          <w:sz w:val="32"/>
          <w:szCs w:val="24"/>
        </w:rPr>
        <w:t>–</w:t>
      </w:r>
      <w:r>
        <w:rPr>
          <w:rFonts w:ascii="Times New Roman"/>
          <w:b/>
          <w:bCs/>
          <w:sz w:val="32"/>
          <w:szCs w:val="24"/>
        </w:rPr>
        <w:t xml:space="preserve"> BENEVENTO</w:t>
      </w: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cstheme="minorBidi"/>
          <w:b/>
          <w:sz w:val="24"/>
          <w:szCs w:val="24"/>
        </w:rPr>
        <w:t>°</w:t>
      </w:r>
      <w:r>
        <w:rPr>
          <w:rFonts w:ascii="Times New Roman" w:cstheme="minorBidi"/>
          <w:b/>
          <w:sz w:val="24"/>
          <w:szCs w:val="24"/>
        </w:rPr>
        <w:t>2)</w:t>
      </w: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Via dell</w:t>
      </w:r>
      <w:r>
        <w:rPr>
          <w:rFonts w:ascii="Times New Roman" w:cstheme="minorBidi"/>
          <w:b/>
          <w:i/>
          <w:sz w:val="24"/>
          <w:szCs w:val="24"/>
        </w:rPr>
        <w:t>’</w:t>
      </w:r>
      <w:r>
        <w:rPr>
          <w:rFonts w:asci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cstheme="minorBidi"/>
          <w:b/>
          <w:i/>
          <w:sz w:val="24"/>
          <w:szCs w:val="24"/>
        </w:rPr>
        <w:t>–</w:t>
      </w:r>
      <w:r>
        <w:rPr>
          <w:rFonts w:asci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STAFF DIREZIONE GENERALE</w:t>
      </w: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Direzione Strategica</w:t>
      </w: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</w:rPr>
        <w:t>OGGETTO:</w:t>
      </w:r>
      <w:r>
        <w:rPr>
          <w:rFonts w:ascii="Times New Roman" w:cstheme="minorBidi"/>
          <w:szCs w:val="24"/>
        </w:rPr>
        <w:t xml:space="preserve">   Avviso interno per il conferimento di incarico di Direttore dell'UOC Tecnica e Programmazione - CED - Dirigenza ruolo tecnico - Presa d'atto verbale e risultanze attivit</w:t>
      </w:r>
      <w:r>
        <w:rPr>
          <w:rFonts w:ascii="Times New Roman" w:cstheme="minorBidi"/>
          <w:szCs w:val="24"/>
        </w:rPr>
        <w:t>à</w:t>
      </w:r>
      <w:r>
        <w:rPr>
          <w:rFonts w:ascii="Times New Roman" w:cstheme="minorBidi"/>
          <w:szCs w:val="24"/>
        </w:rPr>
        <w:t> </w:t>
      </w:r>
      <w:r>
        <w:rPr>
          <w:rFonts w:ascii="Times New Roman" w:cstheme="minorBidi"/>
          <w:szCs w:val="24"/>
        </w:rPr>
        <w:t xml:space="preserve"> della Commissione Valutatr</w:t>
      </w:r>
      <w:r>
        <w:rPr>
          <w:rFonts w:ascii="Times New Roman" w:cstheme="minorBidi"/>
          <w:szCs w:val="24"/>
        </w:rPr>
        <w:t xml:space="preserve">ice  - conferimento incarico. </w:t>
      </w: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szCs w:val="24"/>
        </w:rPr>
        <w:t xml:space="preserve">PROPOSTA DI DELIBERA: </w:t>
      </w:r>
      <w:r>
        <w:rPr>
          <w:rFonts w:ascii="Times New Roman" w:cstheme="minorBidi"/>
          <w:b/>
          <w:szCs w:val="24"/>
        </w:rPr>
        <w:t>676  del 30/10/2017</w:t>
      </w: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cstheme="minorBidi"/>
          <w:b/>
          <w:i/>
          <w:sz w:val="24"/>
          <w:szCs w:val="24"/>
        </w:rPr>
        <w:t>à</w:t>
      </w:r>
      <w:r>
        <w:rPr>
          <w:rFonts w:ascii="Times New Roman" w:cstheme="minorBidi"/>
          <w:b/>
          <w:i/>
          <w:sz w:val="24"/>
          <w:szCs w:val="24"/>
        </w:rPr>
        <w:t>.</w:t>
      </w:r>
    </w:p>
    <w:p w:rsidR="00000000" w:rsidRDefault="00015DF0">
      <w:pPr>
        <w:pStyle w:val="Nessunaspaziatura"/>
        <w:rPr>
          <w:rFonts w:cstheme="minorBidi"/>
          <w:szCs w:val="24"/>
        </w:rPr>
      </w:pP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Direzione Strategica</w:t>
      </w: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</w:p>
    <w:p w:rsidR="00000000" w:rsidRDefault="00015DF0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Firmato digitalmente</w:t>
      </w:r>
    </w:p>
    <w:p w:rsidR="00000000" w:rsidRDefault="00015DF0">
      <w:pPr>
        <w:pStyle w:val="Nessunaspaziatura"/>
        <w:pBdr>
          <w:bottom w:val="thickThinSmallGap" w:sz="20" w:space="2" w:color="000000"/>
        </w:pBdr>
        <w:jc w:val="center"/>
        <w:rPr>
          <w:rFonts w:cstheme="minorBidi"/>
          <w:szCs w:val="24"/>
        </w:rPr>
      </w:pPr>
    </w:p>
    <w:p w:rsidR="00000000" w:rsidRDefault="00015DF0">
      <w:pPr>
        <w:pStyle w:val="Predefinito"/>
        <w:rPr>
          <w:rFonts w:cstheme="minorBidi"/>
        </w:rPr>
      </w:pPr>
    </w:p>
    <w:p w:rsidR="00000000" w:rsidRDefault="00015DF0">
      <w:pPr>
        <w:pStyle w:val="Predefinito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Premesso 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che con delibera n. 361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11.8.2017,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stato, tra l'altro, indetto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 interno per il conferimento di 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UOC Tecnica e Programmazione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</w:rPr>
        <w:t xml:space="preserve"> Dirigenza ruolo tecnico; 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-che con delibera n. 469 del 17.10.2017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stata nominata la Commissione Valutatrice d</w:t>
      </w:r>
      <w:r>
        <w:rPr>
          <w:rFonts w:ascii="Times New Roman" w:cstheme="minorBidi"/>
          <w:b/>
        </w:rPr>
        <w:t>i cui al suddetto Avviso;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Preso atto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-che in data 25.10.2017 la Commissione Valutatrice di cui sopra ha ultimato le attivit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di competenza relative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 de quo ed ha trasmesso al Direttore Generale il relativo verbale n. 1 del 25.10.2017;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>-che nel s</w:t>
      </w:r>
      <w:r>
        <w:rPr>
          <w:rFonts w:ascii="Times New Roman" w:cstheme="minorBidi"/>
        </w:rPr>
        <w:t>uddetto verbale la Commissione V</w:t>
      </w:r>
      <w:r>
        <w:rPr>
          <w:rFonts w:ascii="Times New Roman" w:cstheme="minorBidi"/>
          <w:b/>
        </w:rPr>
        <w:t xml:space="preserve">alutatrice </w:t>
      </w:r>
      <w:r>
        <w:rPr>
          <w:rFonts w:ascii="Times New Roman" w:cstheme="minorBidi"/>
        </w:rPr>
        <w:t>ha dato atto, essendo pervenuta una sola istanza, di non poter formulare una rosa di candidati idonei al conferimento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incarico di che trattasi,  e che, a seguito delle valutazioni di competenza, ha ritenuto 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unico candidato, dr Alberto Di Stasio, idoneo al conferimento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incarico di Direttore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 xml:space="preserve">UOC Tecnica e Programmazione </w:t>
      </w:r>
      <w:r>
        <w:rPr>
          <w:rFonts w:ascii="Times New Roman" w:cstheme="minorBidi"/>
        </w:rPr>
        <w:t>–</w:t>
      </w:r>
      <w:r>
        <w:rPr>
          <w:rFonts w:ascii="Times New Roman" w:cstheme="minorBidi"/>
        </w:rPr>
        <w:t xml:space="preserve"> CED; 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Viste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-la nota prot. 15788 del 14.7.2017 con la quale il dr. Alberto Di Stasio rassegnava le proprie dimissioni dall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</w:t>
      </w:r>
      <w:r>
        <w:rPr>
          <w:rFonts w:ascii="Times New Roman" w:cstheme="minorBidi"/>
          <w:b/>
        </w:rPr>
        <w:t>co di responsabile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Area Risorse Umane;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le note prot. 15996 del 18.7.2017 e prot. 16267 del 21.7.2017 della Direzione Strategica con le quali nell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accettare le dimissioni proposte dal Dr. A. Di Stasio</w:t>
      </w:r>
      <w:r>
        <w:rPr>
          <w:rFonts w:ascii="Times New Roman" w:cstheme="minorBidi"/>
        </w:rPr>
        <w:t xml:space="preserve"> si disponeva che, nelle more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espletamento de</w:t>
      </w:r>
      <w:r>
        <w:rPr>
          <w:rFonts w:ascii="Times New Roman" w:cstheme="minorBidi"/>
        </w:rPr>
        <w:t>lle procedure dirette al conferimento degli incarichi di struttura di cui alla Convocazione Sindacati a mezzo pec del 19.7.2017 e sino alla conclusione delle stesse, lo stesso continuasse ad assicurare il regolare espletamento delle attivit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Area Riso</w:t>
      </w:r>
      <w:r>
        <w:rPr>
          <w:rFonts w:ascii="Times New Roman" w:cstheme="minorBidi"/>
        </w:rPr>
        <w:t>rse Umane;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Dato atto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-che nel vigente atto aziendale non </w:t>
      </w:r>
      <w:r>
        <w:rPr>
          <w:rFonts w:ascii="Times New Roman" w:cstheme="minorBidi"/>
        </w:rPr>
        <w:t>è</w:t>
      </w:r>
      <w:r>
        <w:rPr>
          <w:rFonts w:ascii="Times New Roman" w:cstheme="minorBidi"/>
        </w:rPr>
        <w:t xml:space="preserve"> pi</w:t>
      </w:r>
      <w:r>
        <w:rPr>
          <w:rFonts w:ascii="Times New Roman" w:cstheme="minorBidi"/>
        </w:rPr>
        <w:t>ù</w:t>
      </w:r>
      <w:r>
        <w:rPr>
          <w:rFonts w:ascii="Times New Roman" w:cstheme="minorBidi"/>
        </w:rPr>
        <w:t xml:space="preserve"> contemplata la UOS CED incardinata nell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Area Risorse Umane, a fronte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attuale UOC</w:t>
      </w:r>
      <w:r>
        <w:rPr>
          <w:rFonts w:ascii="Times New Roman" w:cstheme="minorBidi"/>
          <w:b/>
        </w:rPr>
        <w:t xml:space="preserve"> Tecnica e Programmazione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CED;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Tenuto conto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della nota Regione Campania prot. 2017. 06313143 del 18.9.2017, in base alla quale le Aziende Sanitarie sono tenute, qualora non vi avessero gi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provveduto, ad attuare le procedure della rotazione degli incarichi dirigenziali  che, pertanto, questa Azien</w:t>
      </w:r>
      <w:r>
        <w:rPr>
          <w:rFonts w:ascii="Times New Roman" w:cstheme="minorBidi"/>
          <w:b/>
        </w:rPr>
        <w:t>da si appresta ad attivare, a breve;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Ritenuto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-alla luce di quanto sopra esposto: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di conferire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UOC Tecnica e Programmazione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 al dr. Alberto Di Stasio con decorrenza dal 16.11.2017 per la durata di anni 5;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-di dare mandato al Dr. Alberto Di Stasio di provvedere ad effettuare il passaggio di consegne al nuovo Responsabile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Umane;</w:t>
      </w:r>
    </w:p>
    <w:p w:rsidR="00000000" w:rsidRDefault="00015DF0">
      <w:pPr>
        <w:ind w:left="708"/>
        <w:jc w:val="both"/>
        <w:rPr>
          <w:rFonts w:cstheme="minorBidi"/>
        </w:rPr>
      </w:pPr>
    </w:p>
    <w:p w:rsidR="00000000" w:rsidRDefault="00015DF0">
      <w:pPr>
        <w:rPr>
          <w:rFonts w:cstheme="minorBidi"/>
        </w:rPr>
      </w:pPr>
      <w:r>
        <w:rPr>
          <w:rFonts w:ascii="Times New Roman" w:cstheme="minorBidi"/>
          <w:b/>
        </w:rPr>
        <w:t>Verificata</w:t>
      </w:r>
    </w:p>
    <w:p w:rsidR="00000000" w:rsidRDefault="00015DF0">
      <w:pPr>
        <w:numPr>
          <w:ilvl w:val="0"/>
          <w:numId w:val="1"/>
        </w:numPr>
        <w:rPr>
          <w:rFonts w:cstheme="minorBidi"/>
        </w:rPr>
      </w:pPr>
      <w:r>
        <w:rPr>
          <w:rFonts w:ascii="Times New Roman" w:cstheme="minorBidi"/>
        </w:rPr>
        <w:t>la legittimit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la regolarit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giuridico/amministrativa del procedimento e dei contenuti della presen</w:t>
      </w:r>
      <w:r>
        <w:rPr>
          <w:rFonts w:ascii="Times New Roman" w:cstheme="minorBidi"/>
        </w:rPr>
        <w:t>te proposta , a seguito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istruttoria effettuata nel rispetto delle proprie competenze, funzioni e responsabilit</w:t>
      </w:r>
      <w:r>
        <w:rPr>
          <w:rFonts w:ascii="Times New Roman" w:cstheme="minorBidi"/>
        </w:rPr>
        <w:t>à</w:t>
      </w: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>Tutto ci</w:t>
      </w:r>
      <w:r>
        <w:rPr>
          <w:rFonts w:ascii="Times New Roman" w:cstheme="minorBidi"/>
        </w:rPr>
        <w:t>ò</w:t>
      </w:r>
      <w:r>
        <w:rPr>
          <w:rFonts w:ascii="Times New Roman" w:cstheme="minorBidi"/>
        </w:rPr>
        <w:t xml:space="preserve"> premesso, argomentato ed attestato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spacing w:line="360" w:lineRule="auto"/>
        <w:ind w:right="282"/>
        <w:jc w:val="center"/>
        <w:rPr>
          <w:rFonts w:cstheme="minorBidi"/>
        </w:rPr>
      </w:pPr>
      <w:r>
        <w:rPr>
          <w:rFonts w:ascii="Times New Roman" w:cstheme="minorBidi"/>
          <w:b/>
        </w:rPr>
        <w:t>LA DIREZIONE STRATEGICA PROPONE  LA SEGUENTE DELIBERA</w:t>
      </w:r>
    </w:p>
    <w:p w:rsidR="00000000" w:rsidRDefault="00015DF0">
      <w:pPr>
        <w:spacing w:line="360" w:lineRule="auto"/>
        <w:ind w:right="282"/>
        <w:jc w:val="center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 di prendere atto 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</w:rPr>
        <w:t>-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esito dei</w:t>
      </w:r>
      <w:r>
        <w:rPr>
          <w:rFonts w:ascii="Times New Roman" w:cstheme="minorBidi"/>
        </w:rPr>
        <w:t xml:space="preserve"> lavori della Commissione Valutatrice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  <w:b/>
        </w:rPr>
        <w:t>avviso interno per il conferimento di 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UOC Tecnica e Programmazione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</w:rPr>
        <w:t xml:space="preserve"> Dirigenza ruolo tecnico, di cui al </w:t>
      </w:r>
      <w:r>
        <w:rPr>
          <w:rFonts w:ascii="Times New Roman" w:cstheme="minorBidi"/>
          <w:b/>
        </w:rPr>
        <w:t>verbale n. 1 del 25.10.2017</w:t>
      </w:r>
      <w:r>
        <w:rPr>
          <w:rFonts w:ascii="Times New Roman" w:cstheme="minorBidi"/>
        </w:rPr>
        <w:t>, dal quale risulta che essendo pervenuta una sol</w:t>
      </w:r>
      <w:r>
        <w:rPr>
          <w:rFonts w:ascii="Times New Roman" w:cstheme="minorBidi"/>
        </w:rPr>
        <w:t>a istanza, la Commissione non ha potuto formulare una rosa di candidati idonei al conferimento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incarico di che trattasi,  e che, a seguito delle valutazioni di propria competenza, la Commissione ha ritenuto 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unico candidato, dr Alberto di Stasio, ido</w:t>
      </w:r>
      <w:r>
        <w:rPr>
          <w:rFonts w:ascii="Times New Roman" w:cstheme="minorBidi"/>
        </w:rPr>
        <w:t>neo al conferimento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incarico di Direttore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 xml:space="preserve">UOC Tecnica e Programmazione </w:t>
      </w:r>
      <w:r>
        <w:rPr>
          <w:rFonts w:ascii="Times New Roman" w:cstheme="minorBidi"/>
        </w:rPr>
        <w:t>–</w:t>
      </w:r>
      <w:r>
        <w:rPr>
          <w:rFonts w:ascii="Times New Roman" w:cstheme="minorBidi"/>
        </w:rPr>
        <w:t xml:space="preserve"> CED; 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-della nota prot. 15788 del 14.7.2017 con la quale il dr. Alberto Di Stasio rassegnava le proprie dimissioni dall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di responsabile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Area Risorse Umane;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d</w:t>
      </w:r>
      <w:r>
        <w:rPr>
          <w:rFonts w:ascii="Times New Roman" w:cstheme="minorBidi"/>
          <w:b/>
        </w:rPr>
        <w:t>elle note prot. 15996 del 18.7.2017 e prot. 16267 del 21.7.2017 della Direzione Strategica con le quali nell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accettare le dimissioni proposte dal Dr. A. Di Stasio</w:t>
      </w:r>
      <w:r>
        <w:rPr>
          <w:rFonts w:ascii="Times New Roman" w:cstheme="minorBidi"/>
        </w:rPr>
        <w:t xml:space="preserve"> si disponeva che, nelle more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 xml:space="preserve">espletamento delle procedure dirette al conferimento degli </w:t>
      </w:r>
      <w:r>
        <w:rPr>
          <w:rFonts w:ascii="Times New Roman" w:cstheme="minorBidi"/>
        </w:rPr>
        <w:t>incarichi di struttura di cui alla Convocazione Sindacati a mezzo pec del 19.7.2017 e sino alla conclusione delle stesse, lo stesso continuasse ad assicurare il regolare espletamento delle attivit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Area Risorse Umane;</w:t>
      </w:r>
    </w:p>
    <w:p w:rsidR="00000000" w:rsidRDefault="00015DF0">
      <w:pPr>
        <w:ind w:left="708"/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di dare atto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</w:rPr>
        <w:t xml:space="preserve">-che nel vigente </w:t>
      </w:r>
      <w:r>
        <w:rPr>
          <w:rFonts w:ascii="Times New Roman" w:cstheme="minorBidi"/>
        </w:rPr>
        <w:t xml:space="preserve">atto aziendale non </w:t>
      </w:r>
      <w:r>
        <w:rPr>
          <w:rFonts w:ascii="Times New Roman" w:cstheme="minorBidi"/>
        </w:rPr>
        <w:t>è</w:t>
      </w:r>
      <w:r>
        <w:rPr>
          <w:rFonts w:ascii="Times New Roman" w:cstheme="minorBidi"/>
        </w:rPr>
        <w:t xml:space="preserve"> pi</w:t>
      </w:r>
      <w:r>
        <w:rPr>
          <w:rFonts w:ascii="Times New Roman" w:cstheme="minorBidi"/>
        </w:rPr>
        <w:t>ù</w:t>
      </w:r>
      <w:r>
        <w:rPr>
          <w:rFonts w:ascii="Times New Roman" w:cstheme="minorBidi"/>
        </w:rPr>
        <w:t xml:space="preserve"> contemplata la UOS CED incardinata nell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Area Risorse Umane, a fronte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attuale UOC</w:t>
      </w:r>
      <w:r>
        <w:rPr>
          <w:rFonts w:ascii="Times New Roman" w:cstheme="minorBidi"/>
          <w:b/>
        </w:rPr>
        <w:t xml:space="preserve"> Tecnica e Programmazione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CED;</w:t>
      </w:r>
    </w:p>
    <w:p w:rsidR="00000000" w:rsidRDefault="00015DF0">
      <w:pPr>
        <w:ind w:left="708"/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-alla luce di tutto quanto in narrativa esposto: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di conferire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Tecnica e Pro</w:t>
      </w:r>
      <w:r>
        <w:rPr>
          <w:rFonts w:ascii="Times New Roman" w:cstheme="minorBidi"/>
          <w:b/>
        </w:rPr>
        <w:t xml:space="preserve">grammazione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CED al dr. Alberto Di Stasio con decorrenza dal 16.11.2017 per la durata di anni 5;</w:t>
      </w:r>
    </w:p>
    <w:p w:rsidR="00000000" w:rsidRDefault="00015DF0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-di dare mandato al Dr. Alberto Di Stasio di provvedere ad effettuare il passaggio di consegne al nuovo Responsabile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Umane;</w:t>
      </w:r>
    </w:p>
    <w:p w:rsidR="00000000" w:rsidRDefault="00015DF0">
      <w:pPr>
        <w:ind w:left="708"/>
        <w:jc w:val="both"/>
        <w:rPr>
          <w:rFonts w:cstheme="minorBidi"/>
        </w:rPr>
      </w:pP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  <w:r>
        <w:rPr>
          <w:rFonts w:ascii="Times New Roman" w:cstheme="minorBidi"/>
          <w:b/>
          <w:color w:val="00000A"/>
        </w:rPr>
        <w:t>-di conferire</w:t>
      </w:r>
      <w:r>
        <w:rPr>
          <w:rFonts w:ascii="Times New Roman" w:cstheme="minorBidi"/>
          <w:color w:val="00000A"/>
        </w:rPr>
        <w:t xml:space="preserve"> al</w:t>
      </w:r>
      <w:r>
        <w:rPr>
          <w:rFonts w:ascii="Times New Roman" w:cstheme="minorBidi"/>
          <w:color w:val="00000A"/>
        </w:rPr>
        <w:t xml:space="preserve"> presente provvedimento 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immediata esecutivit</w:t>
      </w:r>
      <w:r>
        <w:rPr>
          <w:rFonts w:ascii="Times New Roman" w:cstheme="minorBidi"/>
          <w:color w:val="00000A"/>
        </w:rPr>
        <w:t>à</w:t>
      </w:r>
      <w:r>
        <w:rPr>
          <w:rFonts w:ascii="Times New Roman" w:cstheme="minorBidi"/>
          <w:color w:val="00000A"/>
        </w:rPr>
        <w:t>, stante 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esigenza di procedere 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assegnazione dell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incarico di direttore dell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UOC</w:t>
      </w:r>
      <w:r>
        <w:rPr>
          <w:rFonts w:ascii="Times New Roman" w:cstheme="minorBidi"/>
          <w:b/>
          <w:color w:val="00000A"/>
        </w:rPr>
        <w:t xml:space="preserve"> Tecnica e Programmazione </w:t>
      </w:r>
      <w:r>
        <w:rPr>
          <w:rFonts w:ascii="Times New Roman" w:cstheme="minorBidi"/>
          <w:b/>
          <w:color w:val="00000A"/>
        </w:rPr>
        <w:t>–</w:t>
      </w:r>
      <w:r>
        <w:rPr>
          <w:rFonts w:ascii="Times New Roman" w:cstheme="minorBidi"/>
          <w:b/>
          <w:color w:val="00000A"/>
        </w:rPr>
        <w:t xml:space="preserve"> CED;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-di demandare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 gli adempimenti consequenziali al presente atto;</w:t>
      </w:r>
    </w:p>
    <w:p w:rsidR="00000000" w:rsidRDefault="00015DF0">
      <w:pPr>
        <w:jc w:val="both"/>
        <w:rPr>
          <w:rFonts w:cstheme="minorBidi"/>
        </w:rPr>
      </w:pP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  <w:r>
        <w:rPr>
          <w:rFonts w:ascii="Times New Roman" w:cstheme="minorBidi"/>
          <w:b/>
          <w:color w:val="00000A"/>
        </w:rPr>
        <w:t>-di trasmettere</w:t>
      </w:r>
      <w:r>
        <w:rPr>
          <w:rFonts w:ascii="Times New Roman" w:cstheme="minorBidi"/>
          <w:color w:val="00000A"/>
        </w:rPr>
        <w:t xml:space="preserve"> copia del presente atto al Collegio Sindacale, 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UOC Risorse Umane, a</w:t>
      </w:r>
      <w:r>
        <w:rPr>
          <w:rFonts w:ascii="Times New Roman" w:cstheme="minorBidi"/>
          <w:b/>
          <w:color w:val="00000A"/>
        </w:rPr>
        <w:t>ll</w:t>
      </w:r>
      <w:r>
        <w:rPr>
          <w:rFonts w:ascii="Times New Roman" w:cstheme="minorBidi"/>
          <w:b/>
          <w:color w:val="00000A"/>
        </w:rPr>
        <w:t>’</w:t>
      </w:r>
      <w:r>
        <w:rPr>
          <w:rFonts w:ascii="Times New Roman" w:cstheme="minorBidi"/>
          <w:b/>
          <w:color w:val="00000A"/>
        </w:rPr>
        <w:t xml:space="preserve">UOC Tecnica e Programmazione </w:t>
      </w:r>
      <w:r>
        <w:rPr>
          <w:rFonts w:ascii="Times New Roman" w:cstheme="minorBidi"/>
          <w:b/>
          <w:color w:val="00000A"/>
        </w:rPr>
        <w:t>–</w:t>
      </w:r>
      <w:r>
        <w:rPr>
          <w:rFonts w:ascii="Times New Roman" w:cstheme="minorBidi"/>
          <w:b/>
          <w:color w:val="00000A"/>
        </w:rPr>
        <w:t xml:space="preserve"> CED.</w:t>
      </w: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  <w:r>
        <w:rPr>
          <w:rFonts w:ascii="Times New Roman" w:cstheme="minorBidi"/>
          <w:color w:val="00000A"/>
        </w:rPr>
        <w:t>IL DIRETTORE AMMINISTRATIVO                                            IL DIRETTORE SANITARIO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          Dott. Alberto Pagliafora</w:t>
      </w:r>
      <w:r>
        <w:rPr>
          <w:rFonts w:ascii="Times New Roman" w:cstheme="minorBidi"/>
        </w:rPr>
        <w:t xml:space="preserve">                                                           Dott. Mario Iervolino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          firmato digitalmente                                                                  firmato digitalmente</w:t>
      </w: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                                                       </w:t>
      </w:r>
      <w:r>
        <w:rPr>
          <w:rFonts w:ascii="Times New Roman" w:cstheme="minorBidi"/>
        </w:rPr>
        <w:t xml:space="preserve">         IL DIRETTORE GENERALE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                                                                        Dott. Renato Pizzuti</w:t>
      </w:r>
    </w:p>
    <w:p w:rsidR="00000000" w:rsidRDefault="00015DF0">
      <w:pPr>
        <w:jc w:val="both"/>
        <w:rPr>
          <w:rFonts w:cstheme="minorBidi"/>
        </w:rPr>
      </w:pPr>
      <w:r>
        <w:rPr>
          <w:rFonts w:ascii="Times New Roman" w:cstheme="minorBidi"/>
        </w:rPr>
        <w:t xml:space="preserve">                                                                        firmato digitalmente</w:t>
      </w: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jc w:val="both"/>
        <w:rPr>
          <w:rFonts w:ascii="Times New Roman" w:cstheme="minorBidi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ascii="Times New Roman" w:cstheme="minorBidi"/>
          <w:b/>
          <w:color w:val="00000A"/>
        </w:rPr>
      </w:pPr>
    </w:p>
    <w:p w:rsidR="00000000" w:rsidRDefault="00015DF0">
      <w:pPr>
        <w:pStyle w:val="testocenter2"/>
        <w:ind w:firstLine="0"/>
        <w:jc w:val="both"/>
        <w:rPr>
          <w:rFonts w:cstheme="minorBidi"/>
        </w:rPr>
      </w:pPr>
    </w:p>
    <w:p w:rsidR="00000000" w:rsidRDefault="00015DF0">
      <w:pPr>
        <w:pStyle w:val="Predefinito"/>
        <w:pageBreakBefore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5DF0">
      <w:r>
        <w:separator/>
      </w:r>
    </w:p>
  </w:endnote>
  <w:endnote w:type="continuationSeparator" w:id="0">
    <w:p w:rsidR="00000000" w:rsidRDefault="000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5DF0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01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F0"/>
    <w:rsid w:val="000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34789-CBC3-45EB-9678-ED7A38D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4">
    <w:name w:val="ListLabel 4"/>
    <w:uiPriority w:val="99"/>
    <w:rPr>
      <w:rFonts w:ascii="Times New Roman" w:eastAsia="Times New Roman" w:cs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1728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2304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288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4032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8577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576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Predefinito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testocenter2">
    <w:name w:val="testocenter2"/>
    <w:basedOn w:val="Normale"/>
    <w:uiPriority w:val="99"/>
    <w:pPr>
      <w:spacing w:before="75" w:after="180"/>
      <w:ind w:firstLine="240"/>
      <w:jc w:val="center"/>
    </w:pPr>
    <w:rPr>
      <w:rFonts w:asci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2017-11-02T14:34:00Z</dcterms:created>
  <dcterms:modified xsi:type="dcterms:W3CDTF">2017-11-02T14:34:00Z</dcterms:modified>
</cp:coreProperties>
</file>